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0496" w14:textId="77777777" w:rsidR="00E432E6" w:rsidRPr="00323D33" w:rsidRDefault="00E432E6" w:rsidP="00E432E6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1243EFF5" w14:textId="77777777" w:rsidR="00212206" w:rsidRDefault="00212206" w:rsidP="00323D33">
      <w:pPr>
        <w:jc w:val="center"/>
        <w:rPr>
          <w:b/>
        </w:rPr>
      </w:pPr>
      <w:bookmarkStart w:id="0" w:name="_GoBack"/>
      <w:bookmarkEnd w:id="0"/>
    </w:p>
    <w:p w14:paraId="24CDD137" w14:textId="77777777" w:rsidR="008B0A57" w:rsidRDefault="008B0A57" w:rsidP="00212206">
      <w:pPr>
        <w:tabs>
          <w:tab w:val="left" w:pos="1470"/>
        </w:tabs>
        <w:jc w:val="center"/>
        <w:rPr>
          <w:b/>
        </w:rPr>
      </w:pPr>
      <w:r>
        <w:rPr>
          <w:b/>
        </w:rPr>
        <w:t>BGZ2256L-</w:t>
      </w:r>
      <w:r w:rsidR="00160D1A">
        <w:rPr>
          <w:b/>
        </w:rPr>
        <w:t>Vállalatok nemzetközi környezetben</w:t>
      </w:r>
    </w:p>
    <w:p w14:paraId="4AA4A64F" w14:textId="3BAADC2F" w:rsidR="002C5D8C" w:rsidRPr="00212206" w:rsidRDefault="00160D1A" w:rsidP="00212206">
      <w:pPr>
        <w:tabs>
          <w:tab w:val="left" w:pos="1470"/>
        </w:tabs>
        <w:jc w:val="center"/>
      </w:pPr>
      <w:r>
        <w:rPr>
          <w:b/>
        </w:rPr>
        <w:t xml:space="preserve"> </w:t>
      </w: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366E00" w14:paraId="08BC20F2" w14:textId="77777777" w:rsidTr="00192490">
        <w:trPr>
          <w:trHeight w:val="848"/>
        </w:trPr>
        <w:tc>
          <w:tcPr>
            <w:tcW w:w="2123" w:type="dxa"/>
          </w:tcPr>
          <w:p w14:paraId="7E4C08C4" w14:textId="4BCEED10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4582AEAE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Év eleji eligazítás, a követelményrendszer ismertetése, alapvetések.</w:t>
            </w:r>
          </w:p>
          <w:p w14:paraId="41741F14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Globalizáció.</w:t>
            </w:r>
          </w:p>
          <w:p w14:paraId="1ED92240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A nemzetközi vállalatok kialakulása és térhódítása.</w:t>
            </w:r>
          </w:p>
          <w:p w14:paraId="45F95198" w14:textId="0B03BEE1" w:rsidR="00366E00" w:rsidRPr="00CA0B0C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Külgazdasági stratégia az EU-ban és Magyarországon.</w:t>
            </w:r>
          </w:p>
        </w:tc>
      </w:tr>
      <w:tr w:rsidR="00366E00" w14:paraId="6A2D392C" w14:textId="77777777" w:rsidTr="00ED6CFD">
        <w:trPr>
          <w:trHeight w:val="848"/>
        </w:trPr>
        <w:tc>
          <w:tcPr>
            <w:tcW w:w="2123" w:type="dxa"/>
          </w:tcPr>
          <w:p w14:paraId="59E89826" w14:textId="118FBAF5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180B7286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Versenyképesség az EU-ban és Magyarországon.</w:t>
            </w:r>
          </w:p>
          <w:p w14:paraId="0A354EEE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Kereskedelempolitika az Európai Unióban.</w:t>
            </w:r>
          </w:p>
          <w:p w14:paraId="3A21C88B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A külkereskedelmi ügyletek szerződésfajtái I.</w:t>
            </w:r>
          </w:p>
          <w:p w14:paraId="4B21C91D" w14:textId="3D174C4C" w:rsidR="00366E00" w:rsidRPr="00CA0B0C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A külkereskedelmi ügyletek szerződésfajtái II.</w:t>
            </w:r>
          </w:p>
        </w:tc>
      </w:tr>
      <w:tr w:rsidR="00AA3CB5" w14:paraId="06334179" w14:textId="77777777" w:rsidTr="00ED6CFD">
        <w:trPr>
          <w:trHeight w:val="848"/>
        </w:trPr>
        <w:tc>
          <w:tcPr>
            <w:tcW w:w="2123" w:type="dxa"/>
          </w:tcPr>
          <w:p w14:paraId="7B691186" w14:textId="693C1345" w:rsidR="00AA3CB5" w:rsidRDefault="00AA3CB5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0CC3426E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Fizetési módok a nemzetközi kereskedelemben.</w:t>
            </w:r>
          </w:p>
          <w:p w14:paraId="39D823AB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A nemzetközi fizetési mérleg, külkereskedelmi mérleg.</w:t>
            </w:r>
          </w:p>
          <w:p w14:paraId="33DD2952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A külpiaci megjelenés formái.</w:t>
            </w:r>
          </w:p>
          <w:p w14:paraId="4686EC3B" w14:textId="77777777" w:rsidR="00AA3CB5" w:rsidRPr="00AA3CB5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A külkereskedelem marketing vonatkozásai. (6P)</w:t>
            </w:r>
          </w:p>
          <w:p w14:paraId="08D2487B" w14:textId="41216B2D" w:rsidR="00AA3CB5" w:rsidRPr="00212206" w:rsidRDefault="00AA3CB5" w:rsidP="00AA3CB5">
            <w:pPr>
              <w:rPr>
                <w:bCs/>
              </w:rPr>
            </w:pPr>
            <w:r w:rsidRPr="00AA3CB5">
              <w:rPr>
                <w:bCs/>
              </w:rPr>
              <w:t>Esettanulmányok megbeszélése, ZH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D94C369" w14:textId="1F19389C" w:rsidR="008B0A57" w:rsidRDefault="008B0A57" w:rsidP="008B0A57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259D8B9F" w14:textId="77777777" w:rsidR="008B0A57" w:rsidRDefault="008B0A57" w:rsidP="008B0A57">
      <w:pPr>
        <w:rPr>
          <w:color w:val="000000"/>
        </w:rPr>
      </w:pPr>
    </w:p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4ADD3496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AA0D22">
        <w:t xml:space="preserve">a </w:t>
      </w:r>
      <w:r w:rsidR="00BB6A1A">
        <w:t>zárthelyi dolgozat sikeres megírása</w:t>
      </w:r>
      <w:r w:rsidR="00366E00">
        <w:t>.</w:t>
      </w:r>
      <w:r w:rsidR="00BB6A1A">
        <w:t xml:space="preserve"> </w:t>
      </w:r>
      <w:r w:rsidR="00AA0D22">
        <w:t xml:space="preserve">A zárthelyi dolgozatot </w:t>
      </w:r>
      <w:r w:rsidR="00BB6A1A">
        <w:t>a kiír</w:t>
      </w:r>
      <w:r w:rsidR="00366E00">
        <w:t xml:space="preserve">t </w:t>
      </w:r>
      <w:proofErr w:type="gramStart"/>
      <w:r w:rsidR="00366E00">
        <w:t>konzultációs</w:t>
      </w:r>
      <w:proofErr w:type="gramEnd"/>
      <w:r w:rsidR="00366E00">
        <w:t xml:space="preserve"> órán</w:t>
      </w:r>
      <w:r w:rsidR="00BB6A1A">
        <w:t xml:space="preserve"> kell az előadás keretén belül me</w:t>
      </w:r>
      <w:r w:rsidR="006D39D5">
        <w:t>g</w:t>
      </w:r>
      <w:r w:rsidR="00366E00">
        <w:t>írni (minimum 51 %-</w:t>
      </w:r>
      <w:proofErr w:type="spellStart"/>
      <w:r w:rsidR="00366E00">
        <w:t>os</w:t>
      </w:r>
      <w:proofErr w:type="spellEnd"/>
      <w:r w:rsidR="00366E00">
        <w:t xml:space="preserve">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096CED3B" w:rsidR="00EE532E" w:rsidRPr="009A4485" w:rsidRDefault="00EE532E" w:rsidP="00565FD7">
      <w:pPr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1F1581A8" w14:textId="769B413E" w:rsidR="00B96C67" w:rsidRPr="00B96C67" w:rsidRDefault="00B96C67" w:rsidP="00565FD7"/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69E17D61" w:rsidR="002C2F97" w:rsidRPr="00F85C1B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</w:t>
      </w:r>
      <w:proofErr w:type="spellStart"/>
      <w:r>
        <w:t>os</w:t>
      </w:r>
      <w:proofErr w:type="spellEnd"/>
      <w:r>
        <w:t xml:space="preserve"> teljesítésével érhető el.</w:t>
      </w:r>
    </w:p>
    <w:p w14:paraId="458D5BD8" w14:textId="77777777" w:rsidR="002C2F97" w:rsidRPr="009A4485" w:rsidRDefault="002C2F97" w:rsidP="002C2F97"/>
    <w:p w14:paraId="4115913C" w14:textId="77777777" w:rsidR="00A573A6" w:rsidRPr="009A4485" w:rsidRDefault="00A573A6"/>
    <w:p w14:paraId="13BE4797" w14:textId="77777777" w:rsidR="00212206" w:rsidRPr="00CA2BB3" w:rsidRDefault="00212206" w:rsidP="00212206">
      <w:pPr>
        <w:ind w:left="5664" w:firstLine="708"/>
        <w:rPr>
          <w:rFonts w:eastAsia="Calibri"/>
          <w:b/>
          <w:lang w:eastAsia="en-US"/>
        </w:rPr>
      </w:pPr>
    </w:p>
    <w:p w14:paraId="05CD313E" w14:textId="77777777" w:rsidR="00212206" w:rsidRPr="009A4485" w:rsidRDefault="00212206" w:rsidP="00212206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Dr. Hegedüs László Zsigmond</w:t>
      </w:r>
    </w:p>
    <w:p w14:paraId="64CB7A5D" w14:textId="54227169"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384"/>
    <w:rsid w:val="00084869"/>
    <w:rsid w:val="00090EDD"/>
    <w:rsid w:val="000B2786"/>
    <w:rsid w:val="000C12F3"/>
    <w:rsid w:val="000C383D"/>
    <w:rsid w:val="000F1C60"/>
    <w:rsid w:val="00142AC0"/>
    <w:rsid w:val="00160D1A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2206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0157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65FD7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46725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82C31"/>
    <w:rsid w:val="008A17F6"/>
    <w:rsid w:val="008A384E"/>
    <w:rsid w:val="008A696F"/>
    <w:rsid w:val="008B0A57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3CB5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432E6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4</cp:revision>
  <dcterms:created xsi:type="dcterms:W3CDTF">2022-08-25T08:45:00Z</dcterms:created>
  <dcterms:modified xsi:type="dcterms:W3CDTF">2022-08-28T07:24:00Z</dcterms:modified>
</cp:coreProperties>
</file>