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162D62" w:rsidRDefault="000F3A1C" w:rsidP="00323D33">
      <w:pPr>
        <w:jc w:val="center"/>
        <w:rPr>
          <w:b/>
        </w:rPr>
      </w:pPr>
      <w:r>
        <w:rPr>
          <w:b/>
        </w:rPr>
        <w:t>Világgazdaságtan</w:t>
      </w:r>
    </w:p>
    <w:p w:rsidR="0062133C" w:rsidRPr="00323D33" w:rsidRDefault="000F3A1C" w:rsidP="00323D33">
      <w:pPr>
        <w:jc w:val="center"/>
        <w:rPr>
          <w:b/>
        </w:rPr>
      </w:pPr>
      <w:r>
        <w:rPr>
          <w:b/>
        </w:rPr>
        <w:t>RKG1102L</w:t>
      </w: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5"/>
        <w:gridCol w:w="5888"/>
      </w:tblGrid>
      <w:tr w:rsidR="00366E00" w:rsidTr="009B4966">
        <w:trPr>
          <w:trHeight w:val="848"/>
        </w:trPr>
        <w:tc>
          <w:tcPr>
            <w:tcW w:w="2483" w:type="dxa"/>
          </w:tcPr>
          <w:p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096" w:type="dxa"/>
          </w:tcPr>
          <w:p w:rsidR="00366E00" w:rsidRDefault="00366E00" w:rsidP="008C54C4">
            <w:pPr>
              <w:rPr>
                <w:bCs/>
              </w:rPr>
            </w:pPr>
            <w:r w:rsidRPr="00CA0B0C">
              <w:rPr>
                <w:bCs/>
              </w:rPr>
              <w:t>Bevezetés</w:t>
            </w:r>
            <w:r w:rsidR="000F3A1C">
              <w:rPr>
                <w:bCs/>
              </w:rPr>
              <w:t>. Alapfogalmak.</w:t>
            </w:r>
          </w:p>
          <w:p w:rsidR="000F3A1C" w:rsidRPr="00CA0B0C" w:rsidRDefault="000F3A1C" w:rsidP="000F3A1C">
            <w:pPr>
              <w:rPr>
                <w:bCs/>
              </w:rPr>
            </w:pPr>
            <w:r>
              <w:rPr>
                <w:bCs/>
              </w:rPr>
              <w:t>A világgazdaságtan szereplői. Globalizáció.</w:t>
            </w:r>
          </w:p>
        </w:tc>
      </w:tr>
      <w:tr w:rsidR="00366E00" w:rsidTr="009B4966">
        <w:trPr>
          <w:trHeight w:val="848"/>
        </w:trPr>
        <w:tc>
          <w:tcPr>
            <w:tcW w:w="2483" w:type="dxa"/>
          </w:tcPr>
          <w:p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096" w:type="dxa"/>
          </w:tcPr>
          <w:p w:rsidR="00366E00" w:rsidRPr="00CA0B0C" w:rsidRDefault="000F3A1C" w:rsidP="00BB0CAE">
            <w:pPr>
              <w:rPr>
                <w:bCs/>
              </w:rPr>
            </w:pPr>
            <w:r>
              <w:rPr>
                <w:bCs/>
              </w:rPr>
              <w:t>Nemzetközi tényezőáramlások (munka, tőke, technológia)</w:t>
            </w:r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="00131381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:rsidR="00BB6A1A" w:rsidRDefault="00BB6A1A" w:rsidP="00BB6A1A">
      <w:pPr>
        <w:jc w:val="both"/>
        <w:rPr>
          <w:b/>
          <w:i/>
        </w:rPr>
      </w:pPr>
    </w:p>
    <w:p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AA0D22">
        <w:t xml:space="preserve">a </w:t>
      </w:r>
      <w:r w:rsidR="00BB6A1A">
        <w:t xml:space="preserve">zárthelyi dolgozat sikeres </w:t>
      </w:r>
      <w:proofErr w:type="spellStart"/>
      <w:r w:rsidR="00BB6A1A">
        <w:t>megírása</w:t>
      </w:r>
      <w:r w:rsidR="00366E00">
        <w:t>.</w:t>
      </w:r>
      <w:r w:rsidR="00AA0D22">
        <w:t>A</w:t>
      </w:r>
      <w:proofErr w:type="spellEnd"/>
      <w:r w:rsidR="00AA0D22">
        <w:t xml:space="preserve"> zárthelyi dolgozatot </w:t>
      </w:r>
      <w:r w:rsidR="00BB6A1A">
        <w:t>a kiír</w:t>
      </w:r>
      <w:r w:rsidR="00366E00">
        <w:t xml:space="preserve">t </w:t>
      </w:r>
      <w:proofErr w:type="gramStart"/>
      <w:r w:rsidR="00366E00">
        <w:t>konzultációs</w:t>
      </w:r>
      <w:proofErr w:type="gramEnd"/>
      <w:r w:rsidR="00366E00">
        <w:t xml:space="preserve"> órán</w:t>
      </w:r>
      <w:r w:rsidR="00BB6A1A">
        <w:t xml:space="preserve"> kell az előadás keretén belül me</w:t>
      </w:r>
      <w:r w:rsidR="006D39D5">
        <w:t>g</w:t>
      </w:r>
      <w:r w:rsidR="00366E00">
        <w:t>írni (minimum 51 %-</w:t>
      </w:r>
      <w:proofErr w:type="spellStart"/>
      <w:r w:rsidR="00366E00">
        <w:t>os</w:t>
      </w:r>
      <w:proofErr w:type="spellEnd"/>
      <w:r w:rsidR="00366E00">
        <w:t xml:space="preserve"> szinten).</w:t>
      </w:r>
    </w:p>
    <w:p w:rsidR="00F0169A" w:rsidRPr="009A4485" w:rsidRDefault="00F0169A" w:rsidP="00BF5FC2">
      <w:pPr>
        <w:ind w:left="370"/>
        <w:jc w:val="both"/>
      </w:pPr>
    </w:p>
    <w:p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:rsidR="002C2F97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AA0D22">
        <w:t xml:space="preserve"> </w:t>
      </w:r>
      <w:r w:rsidR="000F3A1C">
        <w:t>és a Csáki György</w:t>
      </w:r>
      <w:proofErr w:type="gramStart"/>
      <w:r w:rsidR="000F3A1C">
        <w:t>:  A</w:t>
      </w:r>
      <w:proofErr w:type="gramEnd"/>
      <w:r w:rsidR="000F3A1C">
        <w:t xml:space="preserve"> nemzetközi gazdaságtan és világgazdaságtan alapjai ( 2011, </w:t>
      </w:r>
      <w:bookmarkStart w:id="0" w:name="_GoBack"/>
      <w:bookmarkEnd w:id="0"/>
      <w:r w:rsidR="000F3A1C">
        <w:t xml:space="preserve">Napvilág kiadó) </w:t>
      </w:r>
      <w:r w:rsidR="00AA0D22">
        <w:t xml:space="preserve">könyv </w:t>
      </w:r>
      <w:r w:rsidR="00BB6A1A">
        <w:t>ide vonatkozó fejezetei.</w:t>
      </w:r>
      <w:r>
        <w:t xml:space="preserve"> Témakörökhöz kapcsolódó napi </w:t>
      </w:r>
      <w:proofErr w:type="gramStart"/>
      <w:r>
        <w:t>aktualitások</w:t>
      </w:r>
      <w:proofErr w:type="gramEnd"/>
      <w:r>
        <w:t>.</w:t>
      </w:r>
    </w:p>
    <w:p w:rsidR="002C2F97" w:rsidRPr="009A4485" w:rsidRDefault="002C2F97" w:rsidP="003D0926">
      <w:pPr>
        <w:rPr>
          <w:b/>
          <w:bCs/>
        </w:rPr>
      </w:pPr>
    </w:p>
    <w:p w:rsidR="00B96C67" w:rsidRPr="00B96C67" w:rsidRDefault="00B96C67" w:rsidP="00B96C67">
      <w:pPr>
        <w:ind w:left="360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Pr="00F85C1B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</w:t>
      </w:r>
      <w:proofErr w:type="spellStart"/>
      <w:r>
        <w:t>os</w:t>
      </w:r>
      <w:proofErr w:type="spellEnd"/>
      <w:r>
        <w:t xml:space="preserve"> teljesítésével érhető el.</w:t>
      </w:r>
    </w:p>
    <w:p w:rsidR="002C2F97" w:rsidRPr="009A4485" w:rsidRDefault="002C2F97" w:rsidP="002C2F97"/>
    <w:p w:rsidR="00A573A6" w:rsidRPr="009A4485" w:rsidRDefault="00A573A6"/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F0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0F3A1C"/>
    <w:rsid w:val="00131381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12D38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B4966"/>
    <w:rsid w:val="009D3ED9"/>
    <w:rsid w:val="009D3FAE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6EB3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07CF2"/>
    <w:rsid w:val="00F12AF8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CC9"/>
  <w15:docId w15:val="{4B4493E2-7790-4913-868F-76727663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Vargáné dr. Bosnyák Ildikó</cp:lastModifiedBy>
  <cp:revision>3</cp:revision>
  <dcterms:created xsi:type="dcterms:W3CDTF">2022-09-10T13:41:00Z</dcterms:created>
  <dcterms:modified xsi:type="dcterms:W3CDTF">2022-09-10T13:48:00Z</dcterms:modified>
</cp:coreProperties>
</file>